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96A" w:rsidRPr="000E7655" w:rsidRDefault="00DD6728" w:rsidP="005519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URETHRAL RECONSTRUCTION OF A</w:t>
      </w:r>
      <w:r w:rsidR="00ED1669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URETHRAL CARUNCLE MIMICKING POSTMENOPAUSAL BLEEDING: A RARE DIAGNOSTI</w:t>
      </w:r>
      <w:r w:rsidRPr="000E7655">
        <w:rPr>
          <w:rFonts w:ascii="Times New Roman" w:hAnsi="Times New Roman" w:cs="Times New Roman"/>
          <w:b/>
          <w:sz w:val="24"/>
          <w:szCs w:val="24"/>
        </w:rPr>
        <w:t>C CHALLENGE</w:t>
      </w:r>
    </w:p>
    <w:p w:rsidR="000E7655" w:rsidRPr="0055196A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Authors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r w:rsid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Daphne Tansu OMER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Hasan SOYDAN, 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Furkan BINGOLOGLU, 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4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Ali GURSOY</w:t>
      </w:r>
    </w:p>
    <w:p w:rsidR="000E7655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Institution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:</w:t>
      </w:r>
      <w:r w:rsidRPr="0055196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="00DD3D49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,4</w:t>
      </w: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Maltepe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University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Hospital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Obstetrics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and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Gynecology</w:t>
      </w:r>
      <w:proofErr w:type="spellEnd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Department</w:t>
      </w:r>
      <w:proofErr w:type="spellEnd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</w:t>
      </w:r>
      <w:r w:rsidR="005C13CB" w:rsidRP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 xml:space="preserve"> 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,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Maltepe </w:t>
      </w:r>
      <w:proofErr w:type="spellStart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University</w:t>
      </w:r>
      <w:proofErr w:type="spellEnd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Hospital</w:t>
      </w:r>
      <w:proofErr w:type="spellEnd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Urology</w:t>
      </w:r>
      <w:proofErr w:type="spellEnd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Department</w:t>
      </w:r>
      <w:proofErr w:type="spellEnd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="005C13CB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</w:t>
      </w:r>
    </w:p>
    <w:p w:rsidR="00EF008A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Academic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titles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: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Ass.Dr.Daphne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Tansu OMER,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Prof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.Dr.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Hasan</w:t>
      </w:r>
      <w:proofErr w:type="spellEnd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SOYDAN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, </w:t>
      </w:r>
      <w:proofErr w:type="spellStart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s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.Dr.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Furkan</w:t>
      </w:r>
      <w:proofErr w:type="spellEnd"/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BINGOLOGLU,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</w:t>
      </w:r>
      <w:r w:rsidR="00406560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soc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.Prof.Dr.Ali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GURSOY</w:t>
      </w:r>
      <w:r w:rsid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.</w:t>
      </w:r>
    </w:p>
    <w:p w:rsidR="00EF008A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City: </w:t>
      </w:r>
      <w:proofErr w:type="spellStart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Istanbul</w:t>
      </w:r>
      <w:proofErr w:type="spellEnd"/>
      <w:r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, Türkiye</w:t>
      </w:r>
    </w:p>
    <w:p w:rsidR="00EF008A" w:rsidRDefault="00EF008A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1</w:t>
      </w:r>
      <w:r w:rsidR="00BC6053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Daphne Tansu OMER </w:t>
      </w:r>
      <w:proofErr w:type="spellStart"/>
      <w:r w:rsidR="00BC6053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0009-0009-7967-414X</w:t>
      </w:r>
    </w:p>
    <w:p w:rsidR="005C13CB" w:rsidRDefault="005C13CB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2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Prof.Dr.Hasan SOYDAN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Orcid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</w:t>
      </w:r>
      <w:r w:rsidRP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 w:rsidRP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0000-0003-3631-7141</w:t>
      </w:r>
    </w:p>
    <w:p w:rsidR="005C13CB" w:rsidRDefault="005C13CB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Ass.Dr. Furkan BINGOLOGLU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Orcid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</w:t>
      </w:r>
      <w:r w:rsidRPr="005C13CB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0009-0008-6342-7243</w:t>
      </w:r>
    </w:p>
    <w:p w:rsidR="000E7655" w:rsidRDefault="005C13CB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vertAlign w:val="superscript"/>
          <w:lang w:eastAsia="tr-TR"/>
        </w:rPr>
        <w:t>4</w:t>
      </w:r>
      <w:r w:rsidR="00BC6053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Ali GURSOY </w:t>
      </w:r>
      <w:proofErr w:type="spellStart"/>
      <w:r w:rsidR="00BC6053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Orc</w:t>
      </w:r>
      <w:r w:rsidR="00EF008A"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>id</w:t>
      </w:r>
      <w:proofErr w:type="spellEnd"/>
      <w:r w:rsidR="00EF008A" w:rsidRPr="00EF008A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t xml:space="preserve"> No: 0000-0001-7275-3800</w:t>
      </w:r>
      <w:r w:rsidR="000E7655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>Phone: +90 531 336 43 45</w:t>
      </w:r>
      <w:r w:rsidR="000E7655" w:rsidRPr="00100BDD"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  <w:br/>
        <w:t xml:space="preserve">E-mail: </w:t>
      </w:r>
      <w:hyperlink r:id="rId5" w:history="1">
        <w:r w:rsidR="000E7655" w:rsidRPr="00AD2EBD">
          <w:rPr>
            <w:rStyle w:val="Kpr"/>
            <w:rFonts w:ascii="Times New Roman" w:eastAsia="Times New Roman" w:hAnsi="Times New Roman" w:cs="Times New Roman"/>
            <w:b/>
            <w:bCs/>
            <w:sz w:val="20"/>
            <w:szCs w:val="24"/>
            <w:lang w:eastAsia="tr-TR"/>
          </w:rPr>
          <w:t>omer.tansu@gmail.com</w:t>
        </w:r>
      </w:hyperlink>
    </w:p>
    <w:p w:rsidR="000E7655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tr-TR"/>
        </w:rPr>
      </w:pPr>
    </w:p>
    <w:p w:rsidR="000E7655" w:rsidRPr="000E7655" w:rsidRDefault="000E7655" w:rsidP="000E765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  <w:r w:rsidRPr="000E7655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A</w:t>
      </w:r>
      <w:r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BSTRACT</w:t>
      </w:r>
    </w:p>
    <w:p w:rsidR="0055196A" w:rsidRPr="0055196A" w:rsidRDefault="0055196A" w:rsidP="00551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>Introduction</w:t>
      </w:r>
      <w:proofErr w:type="spellEnd"/>
    </w:p>
    <w:p w:rsidR="0055196A" w:rsidRPr="0055196A" w:rsidRDefault="0055196A" w:rsidP="00551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is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clinically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significant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symptom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that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requires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prompt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investigation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because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its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association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gynecological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malignancies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Although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most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cases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originate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from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genital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tract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extra-gynecological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conditions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occasionally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mimic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vaginal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create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diagnostic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challenges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>(1-2)</w:t>
      </w:r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most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common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benign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lesion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female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rarely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presents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as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apparent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vaginal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present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case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causing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requiring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following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surgical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excision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</w:p>
    <w:p w:rsidR="0055196A" w:rsidRPr="0055196A" w:rsidRDefault="0055196A" w:rsidP="00551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tr-TR"/>
        </w:rPr>
      </w:pPr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>Case</w:t>
      </w:r>
    </w:p>
    <w:p w:rsidR="0055196A" w:rsidRPr="0055196A" w:rsidRDefault="0055196A" w:rsidP="00551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An 82-year-old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woman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presented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intermittent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had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been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approximately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35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years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Gynecological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examination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revealed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an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atrophic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vagina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normal-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appearing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cervix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without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active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Transvaginal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ultrasonography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demonstrated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an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atrophic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uterus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an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endometrial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thickness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7 mm,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while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both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ovaries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appeared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atrophic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  <w:r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Detailed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examination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identified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erythema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edema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protruding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lesion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at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external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meatus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Following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consultation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contrast-enhanced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pelvic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magnetic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resonance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imaging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(MRI)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demonstrated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thickening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increased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signal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intensity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around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outlet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suggestive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localized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inflammatory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proliferative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lesion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Endometrial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sampling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performed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because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increased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endometrial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thickness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revealed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benign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histopathological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findings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</w:p>
    <w:p w:rsidR="002E79CB" w:rsidRDefault="0055196A" w:rsidP="00551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patient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diagnosed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underwent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complete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surgical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excision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Under general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anesthesia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prolapsed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distal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mucosa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circumferentially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excised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following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placement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stay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sutures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at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standardized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clock-face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positions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subsequently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performed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using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interrupted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absorbable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sutures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16-Fr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Foley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catheter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inserted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procedure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completed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without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complications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  <w:r w:rsidRPr="000E7655">
        <w:rPr>
          <w:rFonts w:ascii="Times New Roman" w:eastAsia="Times New Roman" w:hAnsi="Times New Roman" w:cs="Times New Roman"/>
          <w:szCs w:val="24"/>
          <w:lang w:eastAsia="tr-TR"/>
        </w:rPr>
        <w:t>(</w:t>
      </w:r>
      <w:proofErr w:type="spellStart"/>
      <w:r w:rsidRPr="000E7655">
        <w:rPr>
          <w:rFonts w:ascii="Times New Roman" w:eastAsia="Times New Roman" w:hAnsi="Times New Roman" w:cs="Times New Roman"/>
          <w:szCs w:val="24"/>
          <w:lang w:eastAsia="tr-TR"/>
        </w:rPr>
        <w:t>Figure</w:t>
      </w:r>
      <w:proofErr w:type="spellEnd"/>
      <w:r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1-</w:t>
      </w:r>
      <w:r w:rsidR="002E79CB">
        <w:rPr>
          <w:rFonts w:ascii="Times New Roman" w:eastAsia="Times New Roman" w:hAnsi="Times New Roman" w:cs="Times New Roman"/>
          <w:szCs w:val="24"/>
          <w:lang w:eastAsia="tr-TR"/>
        </w:rPr>
        <w:t>5</w:t>
      </w:r>
      <w:r w:rsidRPr="000E7655">
        <w:rPr>
          <w:rFonts w:ascii="Times New Roman" w:eastAsia="Times New Roman" w:hAnsi="Times New Roman" w:cs="Times New Roman"/>
          <w:szCs w:val="24"/>
          <w:lang w:eastAsia="tr-TR"/>
        </w:rPr>
        <w:t>)</w:t>
      </w:r>
      <w:bookmarkStart w:id="0" w:name="_GoBack"/>
      <w:bookmarkEnd w:id="0"/>
    </w:p>
    <w:p w:rsidR="002E79CB" w:rsidRDefault="002E79CB" w:rsidP="00551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Cs w:val="24"/>
          <w:lang w:eastAsia="tr-TR"/>
        </w:rPr>
        <w:drawing>
          <wp:inline distT="0" distB="0" distL="0" distR="0" wp14:anchorId="162BCEAD" wp14:editId="29A49007">
            <wp:extent cx="1276350" cy="120845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7" r="35631"/>
                    <a:stretch/>
                  </pic:blipFill>
                  <pic:spPr bwMode="auto">
                    <a:xfrm>
                      <a:off x="0" y="0"/>
                      <a:ext cx="1328078" cy="1257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24"/>
          <w:lang w:eastAsia="tr-TR"/>
        </w:rPr>
        <w:drawing>
          <wp:inline distT="0" distB="0" distL="0" distR="0" wp14:anchorId="38E53B33" wp14:editId="4D1CD3D1">
            <wp:extent cx="1125415" cy="119888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8" r="22364" b="1"/>
                    <a:stretch/>
                  </pic:blipFill>
                  <pic:spPr bwMode="auto">
                    <a:xfrm>
                      <a:off x="0" y="0"/>
                      <a:ext cx="1158508" cy="1234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24"/>
          <w:lang w:eastAsia="tr-TR"/>
        </w:rPr>
        <w:drawing>
          <wp:inline distT="0" distB="0" distL="0" distR="0" wp14:anchorId="5C78CB33" wp14:editId="21184AA2">
            <wp:extent cx="2106398" cy="1185545"/>
            <wp:effectExtent l="0" t="0" r="825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6-10 at 17.01.2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08" cy="119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Cs w:val="24"/>
          <w:lang w:eastAsia="tr-TR"/>
        </w:rPr>
        <w:drawing>
          <wp:inline distT="0" distB="0" distL="0" distR="0" wp14:anchorId="70B0114A" wp14:editId="2D94255E">
            <wp:extent cx="1028700" cy="1179319"/>
            <wp:effectExtent l="0" t="0" r="0" b="190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03" cy="122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CB" w:rsidRPr="0055196A" w:rsidRDefault="002E79CB" w:rsidP="00ED1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eastAsia="tr-TR"/>
        </w:rPr>
        <w:t>Figure</w:t>
      </w:r>
      <w:proofErr w:type="spellEnd"/>
      <w:r>
        <w:rPr>
          <w:rFonts w:ascii="Times New Roman" w:eastAsia="Times New Roman" w:hAnsi="Times New Roman" w:cs="Times New Roman"/>
          <w:szCs w:val="24"/>
          <w:lang w:eastAsia="tr-TR"/>
        </w:rPr>
        <w:t xml:space="preserve"> 1-5: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Reconstructi</w:t>
      </w:r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>on</w:t>
      </w:r>
      <w:proofErr w:type="spellEnd"/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Of A</w:t>
      </w:r>
      <w:r w:rsidR="00ED1669">
        <w:rPr>
          <w:rFonts w:ascii="Times New Roman" w:eastAsia="Times New Roman" w:hAnsi="Times New Roman" w:cs="Times New Roman"/>
          <w:szCs w:val="24"/>
          <w:lang w:eastAsia="tr-TR"/>
        </w:rPr>
        <w:t>n</w:t>
      </w:r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 w:rsidRPr="00ED1669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Step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By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Step</w:t>
      </w:r>
    </w:p>
    <w:p w:rsidR="0055196A" w:rsidRPr="0055196A" w:rsidRDefault="0055196A" w:rsidP="005519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lastRenderedPageBreak/>
        <w:t>Postoperative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recovery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uneventful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catheter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removed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after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satisfactory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healing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During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follow-up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no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urinary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retention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stenosis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recurrent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voiding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dysfunction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lesion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recurrence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observed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</w:p>
    <w:p w:rsidR="0055196A" w:rsidRPr="0055196A" w:rsidRDefault="0055196A" w:rsidP="005519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Cs w:val="36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>Discussion</w:t>
      </w:r>
      <w:proofErr w:type="spellEnd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b/>
          <w:bCs/>
          <w:szCs w:val="36"/>
          <w:lang w:eastAsia="tr-TR"/>
        </w:rPr>
        <w:t>Conclusion</w:t>
      </w:r>
      <w:proofErr w:type="spellEnd"/>
    </w:p>
    <w:p w:rsidR="0055196A" w:rsidRDefault="0055196A" w:rsidP="0074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should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be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considered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differential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diagnosis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particularly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when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routine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gynecological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evaluation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fails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to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identify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a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definitive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source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Careful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inspection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periurethral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region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essential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to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avoid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delayed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diagnosis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unnecessary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investigations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case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demonstrates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that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symptomatic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caruncles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successfully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be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treated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complete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excision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Preservation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caliber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during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critical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for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preventing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postoperative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urinary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retention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stenosis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,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other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voiding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complications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Awareness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this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uncommon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etiology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may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facilitate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accurate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diagnosis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appropriate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management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postmenopausal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women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presenting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with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apparent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vaginal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55196A">
        <w:rPr>
          <w:rFonts w:ascii="Times New Roman" w:eastAsia="Times New Roman" w:hAnsi="Times New Roman" w:cs="Times New Roman"/>
          <w:szCs w:val="24"/>
          <w:lang w:eastAsia="tr-TR"/>
        </w:rPr>
        <w:t>bleeding</w:t>
      </w:r>
      <w:proofErr w:type="spellEnd"/>
      <w:r w:rsidRPr="0055196A">
        <w:rPr>
          <w:rFonts w:ascii="Times New Roman" w:eastAsia="Times New Roman" w:hAnsi="Times New Roman" w:cs="Times New Roman"/>
          <w:szCs w:val="24"/>
          <w:lang w:eastAsia="tr-TR"/>
        </w:rPr>
        <w:t>.</w:t>
      </w:r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One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more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attention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should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be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paid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u</w:t>
      </w:r>
      <w:r w:rsidR="00746902" w:rsidRPr="0055196A">
        <w:rPr>
          <w:rFonts w:ascii="Times New Roman" w:eastAsia="Times New Roman" w:hAnsi="Times New Roman" w:cs="Times New Roman"/>
          <w:szCs w:val="24"/>
          <w:lang w:eastAsia="tr-TR"/>
        </w:rPr>
        <w:t>rethral</w:t>
      </w:r>
      <w:proofErr w:type="spellEnd"/>
      <w:r w:rsidR="00746902" w:rsidRPr="0055196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55196A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s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that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malignant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melanomas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may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present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as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caruncles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that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why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pathological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examination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important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while</w:t>
      </w:r>
      <w:proofErr w:type="spellEnd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746902" w:rsidRPr="000E7655">
        <w:rPr>
          <w:rFonts w:ascii="Times New Roman" w:eastAsia="Times New Roman" w:hAnsi="Times New Roman" w:cs="Times New Roman"/>
          <w:szCs w:val="24"/>
          <w:lang w:eastAsia="tr-TR"/>
        </w:rPr>
        <w:t>reconstru</w:t>
      </w:r>
      <w:r w:rsidR="00ED1669">
        <w:rPr>
          <w:rFonts w:ascii="Times New Roman" w:eastAsia="Times New Roman" w:hAnsi="Times New Roman" w:cs="Times New Roman"/>
          <w:szCs w:val="24"/>
          <w:lang w:eastAsia="tr-TR"/>
        </w:rPr>
        <w:t>ction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distal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meatus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that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is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why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the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excised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tissue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was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analised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by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pathologist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revealing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benign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result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our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case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(3).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There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are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F008A">
        <w:rPr>
          <w:rFonts w:ascii="Times New Roman" w:eastAsia="Times New Roman" w:hAnsi="Times New Roman" w:cs="Times New Roman"/>
          <w:szCs w:val="24"/>
          <w:lang w:eastAsia="tr-TR"/>
        </w:rPr>
        <w:t>also</w:t>
      </w:r>
      <w:proofErr w:type="spellEnd"/>
      <w:r w:rsidR="00EF008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cases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which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F008A">
        <w:rPr>
          <w:rFonts w:ascii="Times New Roman" w:eastAsia="Times New Roman" w:hAnsi="Times New Roman" w:cs="Times New Roman"/>
          <w:szCs w:val="24"/>
          <w:lang w:eastAsia="tr-TR"/>
        </w:rPr>
        <w:t>due</w:t>
      </w:r>
      <w:proofErr w:type="spellEnd"/>
      <w:r w:rsidR="00EF008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F008A">
        <w:rPr>
          <w:rFonts w:ascii="Times New Roman" w:eastAsia="Times New Roman" w:hAnsi="Times New Roman" w:cs="Times New Roman"/>
          <w:szCs w:val="24"/>
          <w:lang w:eastAsia="tr-TR"/>
        </w:rPr>
        <w:t>to</w:t>
      </w:r>
      <w:proofErr w:type="spellEnd"/>
      <w:r w:rsidR="00EF008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="001D1053">
        <w:rPr>
          <w:rFonts w:ascii="Times New Roman" w:eastAsia="Times New Roman" w:hAnsi="Times New Roman" w:cs="Times New Roman"/>
          <w:szCs w:val="24"/>
          <w:lang w:eastAsia="tr-TR"/>
        </w:rPr>
        <w:t xml:space="preserve">a </w:t>
      </w:r>
      <w:proofErr w:type="spellStart"/>
      <w:r w:rsidR="00EF008A">
        <w:rPr>
          <w:rFonts w:ascii="Times New Roman" w:eastAsia="Times New Roman" w:hAnsi="Times New Roman" w:cs="Times New Roman"/>
          <w:szCs w:val="24"/>
          <w:lang w:eastAsia="tr-TR"/>
        </w:rPr>
        <w:t>large</w:t>
      </w:r>
      <w:proofErr w:type="spellEnd"/>
      <w:r w:rsidR="00EF008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F008A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="00EF008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mash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could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be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used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re</w:t>
      </w:r>
      <w:r w:rsidR="001D1053">
        <w:rPr>
          <w:rFonts w:ascii="Times New Roman" w:eastAsia="Times New Roman" w:hAnsi="Times New Roman" w:cs="Times New Roman"/>
          <w:szCs w:val="24"/>
          <w:lang w:eastAsia="tr-TR"/>
        </w:rPr>
        <w:t>paration</w:t>
      </w:r>
      <w:proofErr w:type="spellEnd"/>
      <w:r w:rsidR="001D1053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unlikely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to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our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="00ED1669">
        <w:rPr>
          <w:rFonts w:ascii="Times New Roman" w:eastAsia="Times New Roman" w:hAnsi="Times New Roman" w:cs="Times New Roman"/>
          <w:szCs w:val="24"/>
          <w:lang w:eastAsia="tr-TR"/>
        </w:rPr>
        <w:t>case</w:t>
      </w:r>
      <w:proofErr w:type="spellEnd"/>
      <w:r w:rsidR="00ED1669">
        <w:rPr>
          <w:rFonts w:ascii="Times New Roman" w:eastAsia="Times New Roman" w:hAnsi="Times New Roman" w:cs="Times New Roman"/>
          <w:szCs w:val="24"/>
          <w:lang w:eastAsia="tr-TR"/>
        </w:rPr>
        <w:t>(4).</w:t>
      </w:r>
    </w:p>
    <w:p w:rsidR="000E7655" w:rsidRPr="0055196A" w:rsidRDefault="000E7655" w:rsidP="0074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Cs w:val="24"/>
          <w:lang w:eastAsia="tr-TR"/>
        </w:rPr>
      </w:pPr>
      <w:proofErr w:type="spellStart"/>
      <w:r w:rsidRPr="000E7655">
        <w:rPr>
          <w:rFonts w:ascii="Times New Roman" w:eastAsia="Times New Roman" w:hAnsi="Times New Roman" w:cs="Times New Roman"/>
          <w:b/>
          <w:szCs w:val="24"/>
          <w:lang w:eastAsia="tr-TR"/>
        </w:rPr>
        <w:t>References</w:t>
      </w:r>
      <w:proofErr w:type="spellEnd"/>
    </w:p>
    <w:p w:rsidR="00ED1669" w:rsidRPr="00ED1669" w:rsidRDefault="00ED1669" w:rsidP="00ED1669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Zuo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>, S. W</w:t>
      </w:r>
      <w:proofErr w:type="gram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.,</w:t>
      </w:r>
      <w:proofErr w:type="gram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&amp;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Napoe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G. S. (2023). Evaluation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management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and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periurethral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masses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in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women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Curr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Op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Obstet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Gynecol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35(6), 517-524. </w:t>
      </w:r>
      <w:hyperlink r:id="rId10" w:tgtFrame="_blank" w:history="1">
        <w:r w:rsidRPr="00ED1669">
          <w:rPr>
            <w:rFonts w:ascii="Times New Roman" w:eastAsia="Times New Roman" w:hAnsi="Times New Roman" w:cs="Times New Roman"/>
            <w:szCs w:val="24"/>
            <w:lang w:eastAsia="tr-TR"/>
          </w:rPr>
          <w:t>https://doi.org/10.1097/GCO.0000000000000914</w:t>
        </w:r>
      </w:hyperlink>
    </w:p>
    <w:p w:rsidR="00ED1669" w:rsidRPr="00ED1669" w:rsidRDefault="00ED1669" w:rsidP="00ED1669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Meutia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>, A. P</w:t>
      </w:r>
      <w:proofErr w:type="gram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.,</w:t>
      </w:r>
      <w:proofErr w:type="gram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Yonathan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K., &amp;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Widia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F. (2021).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Giant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resembling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prolapse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causing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outflow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obstruction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Urol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Case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Rep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39, 101783. </w:t>
      </w:r>
      <w:hyperlink r:id="rId11" w:tgtFrame="_blank" w:history="1">
        <w:r w:rsidRPr="00ED1669">
          <w:rPr>
            <w:rFonts w:ascii="Times New Roman" w:eastAsia="Times New Roman" w:hAnsi="Times New Roman" w:cs="Times New Roman"/>
            <w:szCs w:val="24"/>
            <w:lang w:eastAsia="tr-TR"/>
          </w:rPr>
          <w:t>https://doi.org/10.1016/j.eucr.2021.101783</w:t>
        </w:r>
      </w:hyperlink>
    </w:p>
    <w:p w:rsidR="00ED1669" w:rsidRPr="00ED1669" w:rsidRDefault="00ED1669" w:rsidP="00ED1669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Slyby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>, J. R</w:t>
      </w:r>
      <w:proofErr w:type="gram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.,</w:t>
      </w:r>
      <w:proofErr w:type="gram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Harper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A. K., &amp;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Aldrich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E. R. (2026).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Melanoma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presenting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as a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caruncle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.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Menopause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33(6), 754-756. </w:t>
      </w:r>
      <w:hyperlink r:id="rId12" w:tgtFrame="_blank" w:history="1">
        <w:r w:rsidRPr="00ED1669">
          <w:rPr>
            <w:rFonts w:ascii="Times New Roman" w:eastAsia="Times New Roman" w:hAnsi="Times New Roman" w:cs="Times New Roman"/>
            <w:szCs w:val="24"/>
            <w:lang w:eastAsia="tr-TR"/>
          </w:rPr>
          <w:t>https://doi.org/10.1097/GME.0000000000002719</w:t>
        </w:r>
      </w:hyperlink>
    </w:p>
    <w:p w:rsidR="00ED1669" w:rsidRPr="00ED1669" w:rsidRDefault="00ED1669" w:rsidP="00ED1669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Xie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>, J</w:t>
      </w:r>
      <w:proofErr w:type="gram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.,</w:t>
      </w:r>
      <w:proofErr w:type="gram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Liu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B.,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Li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J., &amp;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Luo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>, Z. (2020). "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Sandwich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" mesh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reconstruction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of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female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giant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urethral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diverticulum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: a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case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report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. BMC </w:t>
      </w:r>
      <w:proofErr w:type="spellStart"/>
      <w:r w:rsidRPr="00ED1669">
        <w:rPr>
          <w:rFonts w:ascii="Times New Roman" w:eastAsia="Times New Roman" w:hAnsi="Times New Roman" w:cs="Times New Roman"/>
          <w:szCs w:val="24"/>
          <w:lang w:eastAsia="tr-TR"/>
        </w:rPr>
        <w:t>Urol</w:t>
      </w:r>
      <w:proofErr w:type="spellEnd"/>
      <w:r w:rsidRPr="00ED1669">
        <w:rPr>
          <w:rFonts w:ascii="Times New Roman" w:eastAsia="Times New Roman" w:hAnsi="Times New Roman" w:cs="Times New Roman"/>
          <w:szCs w:val="24"/>
          <w:lang w:eastAsia="tr-TR"/>
        </w:rPr>
        <w:t xml:space="preserve">, 20(1), 32. </w:t>
      </w:r>
      <w:hyperlink r:id="rId13" w:tgtFrame="_blank" w:history="1">
        <w:r w:rsidRPr="00ED1669">
          <w:rPr>
            <w:rFonts w:ascii="Times New Roman" w:eastAsia="Times New Roman" w:hAnsi="Times New Roman" w:cs="Times New Roman"/>
            <w:szCs w:val="24"/>
            <w:lang w:eastAsia="tr-TR"/>
          </w:rPr>
          <w:t>https://doi.org/10.1186/s12894-020-00598-2</w:t>
        </w:r>
      </w:hyperlink>
    </w:p>
    <w:p w:rsidR="00ED1669" w:rsidRPr="00ED1669" w:rsidRDefault="00ED1669" w:rsidP="00ED1669">
      <w:pPr>
        <w:pStyle w:val="ListeParagraf"/>
        <w:rPr>
          <w:rFonts w:ascii="Times New Roman" w:hAnsi="Times New Roman" w:cs="Times New Roman"/>
          <w:color w:val="212121"/>
          <w:shd w:val="clear" w:color="auto" w:fill="FFFFFF"/>
        </w:rPr>
      </w:pPr>
    </w:p>
    <w:sectPr w:rsidR="00ED1669" w:rsidRPr="00ED1669" w:rsidSect="000E7655"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5F1"/>
    <w:multiLevelType w:val="multilevel"/>
    <w:tmpl w:val="40F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9B602E"/>
    <w:multiLevelType w:val="hybridMultilevel"/>
    <w:tmpl w:val="1B1EA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A68B8"/>
    <w:multiLevelType w:val="hybridMultilevel"/>
    <w:tmpl w:val="402C3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6A"/>
    <w:rsid w:val="000E7655"/>
    <w:rsid w:val="001D1053"/>
    <w:rsid w:val="001F24B3"/>
    <w:rsid w:val="002836B9"/>
    <w:rsid w:val="002E79CB"/>
    <w:rsid w:val="00373DB8"/>
    <w:rsid w:val="00406560"/>
    <w:rsid w:val="0055196A"/>
    <w:rsid w:val="005C13CB"/>
    <w:rsid w:val="00674725"/>
    <w:rsid w:val="00746902"/>
    <w:rsid w:val="00BC6053"/>
    <w:rsid w:val="00DD3D49"/>
    <w:rsid w:val="00DD6728"/>
    <w:rsid w:val="00ED1669"/>
    <w:rsid w:val="00EF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410A"/>
  <w15:chartTrackingRefBased/>
  <w15:docId w15:val="{3F9A6151-6297-4F6A-A295-A1B1D746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902"/>
  </w:style>
  <w:style w:type="paragraph" w:styleId="Balk2">
    <w:name w:val="heading 2"/>
    <w:basedOn w:val="Normal"/>
    <w:link w:val="Balk2Char"/>
    <w:uiPriority w:val="9"/>
    <w:qFormat/>
    <w:rsid w:val="005519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5196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isselectedend">
    <w:name w:val="isselectedend"/>
    <w:basedOn w:val="Normal"/>
    <w:rsid w:val="0055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5196A"/>
    <w:rPr>
      <w:b/>
      <w:bCs/>
    </w:rPr>
  </w:style>
  <w:style w:type="character" w:customStyle="1" w:styleId="text-token-text-primary">
    <w:name w:val="text-token-text-primary"/>
    <w:basedOn w:val="VarsaylanParagrafYazTipi"/>
    <w:rsid w:val="0055196A"/>
  </w:style>
  <w:style w:type="paragraph" w:styleId="NormalWeb">
    <w:name w:val="Normal (Web)"/>
    <w:basedOn w:val="Normal"/>
    <w:uiPriority w:val="99"/>
    <w:unhideWhenUsed/>
    <w:rsid w:val="00551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7655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D166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ED16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search?q=https%3A%2F%2Fdoi.org%2F10.1186%2Fs12894-020-00598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google.com/search?q=https%3A%2F%2Fdoi.org%2F10.1097%2FGME.0000000000002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https://doi.org/10.1016/j.eucr.2021.101783" TargetMode="External"/><Relationship Id="rId5" Type="http://schemas.openxmlformats.org/officeDocument/2006/relationships/hyperlink" Target="mailto:omer.tansu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q=https://doi.org/10.1097/GCO.00000000000009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Kadın Doğum Doktor Odası 2</dc:creator>
  <cp:keywords/>
  <dc:description/>
  <cp:lastModifiedBy>Kadın Doğum Doktor Odası 2</cp:lastModifiedBy>
  <cp:revision>2</cp:revision>
  <dcterms:created xsi:type="dcterms:W3CDTF">2026-06-22T07:04:00Z</dcterms:created>
  <dcterms:modified xsi:type="dcterms:W3CDTF">2026-06-22T07:04:00Z</dcterms:modified>
</cp:coreProperties>
</file>